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24.03.2025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Изменения в законе о «Материнском капитале»</w:t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 России п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родолжает действовать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г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оспрограмма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финансовой поддержки семей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- «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Материнский капитал».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О важных изменениях,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вступивших в силу в 2025 году</w:t>
      </w:r>
      <w:r>
        <w:rPr>
          <w:rFonts w:ascii="Tinos" w:hAnsi="Tinos" w:cs="Tinos"/>
          <w:color w:val="222222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касающихся Материнского (семейного) капитала (далее - МСК)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информирует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самарский Росреестр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 частности,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маткапитал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могут рассчитывать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лица,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имеющие гражданство Российской Федерации на момент рождения ребенка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.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Р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ебенок также должен являться гражданином Российской Федерации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 по рождению.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Исключения сделаны только для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жителей новых регионов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</w:r>
    </w:p>
    <w:p>
      <w:pPr>
        <w:contextualSpacing/>
        <w:ind w:left="0" w:right="0" w:firstLine="540"/>
        <w:jc w:val="both"/>
        <w:spacing w:before="0" w:after="74" w:afterAutospacing="0" w:line="360" w:lineRule="auto"/>
        <w:rPr>
          <w:rFonts w:ascii="Tinos" w:hAnsi="Tinos" w:cs="Tinos"/>
          <w:bCs w:val="0"/>
          <w:i w:val="0"/>
          <w:color w:val="222222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Кроме того, п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ри покупке жилого дома (части жилого дома) с помощью средств материнского капитала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необходимо подтвердить, что оно пригодно для проживания.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К заявлению на распоряжение материнским капиталом на покупку жилого помещения, </w:t>
      </w:r>
      <w:r>
        <w:rPr>
          <w:rFonts w:ascii="Tinos" w:hAnsi="Tinos" w:eastAsia="Tinos" w:cs="Tinos"/>
          <w:b w:val="0"/>
          <w:bCs w:val="0"/>
          <w:sz w:val="28"/>
          <w:szCs w:val="28"/>
          <w:u w:val="none"/>
        </w:rPr>
        <w:t xml:space="preserve">являющегося жилым домом (частью жилого дома), в том числе домом блокированной застройки</w:t>
      </w:r>
      <w:r>
        <w:rPr>
          <w:rFonts w:ascii="Tinos" w:hAnsi="Tinos" w:eastAsia="Tinos" w:cs="Tinos"/>
          <w:b w:val="0"/>
          <w:bCs w:val="0"/>
          <w:sz w:val="28"/>
          <w:szCs w:val="28"/>
          <w:u w:val="none"/>
        </w:rPr>
        <w:t xml:space="preserve">,</w:t>
      </w:r>
      <w:r>
        <w:rPr>
          <w:rFonts w:ascii="Tinos" w:hAnsi="Tinos" w:eastAsia="Tinos" w:cs="Tinos"/>
          <w:b w:val="0"/>
          <w:bCs w:val="0"/>
          <w:sz w:val="28"/>
          <w:szCs w:val="28"/>
          <w:u w:val="none"/>
        </w:rPr>
        <w:t xml:space="preserve"> нужно приложить заключение о его соответствии требованиям, предъявляемым к жилому помещению, и его пригодности для проживания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.</w:t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  <w:t xml:space="preserve"> В качестве такого заключения </w:t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  <w:t xml:space="preserve">Социальный фонд рекомендует </w:t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  <w:t xml:space="preserve">принимать во внимание заключени</w:t>
      </w:r>
      <w:r>
        <w:rPr>
          <w:rFonts w:ascii="Tinos" w:hAnsi="Tinos" w:eastAsia="Tinos" w:cs="Tinos"/>
          <w:b w:val="0"/>
          <w:bCs w:val="0"/>
          <w:i w:val="0"/>
          <w:iCs w:val="0"/>
          <w:sz w:val="28"/>
          <w:szCs w:val="28"/>
        </w:rPr>
        <w:t xml:space="preserve">е об оценке соответствия помещения (многоквартирного дома) требованиям, установленным Постановлением Правительства РФ от 28.01.2006 г. №47</w:t>
      </w:r>
      <w:r>
        <w:rPr>
          <w:rFonts w:ascii="Tinos" w:hAnsi="Tinos" w:cs="Tinos"/>
          <w:b w:val="0"/>
          <w:bCs/>
          <w:i w:val="0"/>
          <w:iCs w:val="0"/>
          <w:sz w:val="28"/>
          <w:szCs w:val="28"/>
          <w14:ligatures w14:val="none"/>
        </w:rPr>
        <w:t xml:space="preserve">.</w:t>
      </w:r>
      <w:r>
        <w:rPr>
          <w:rFonts w:ascii="Tinos" w:hAnsi="Tinos" w:cs="Tinos"/>
          <w:bCs w:val="0"/>
          <w:i w:val="0"/>
          <w:color w:val="222222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bCs w:val="0"/>
          <w:i w:val="0"/>
          <w:color w:val="222222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Подать заявление на использование маткапитала можно,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когда ребенку исполнится три года.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 Исключением из этого правила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 является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уплата первоначального взноса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, погашение основного долга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 и уплата процентов по кредитам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  <w:t xml:space="preserve">на приобретение товаров и услуг, предназначенных для социальной адаптации и интеграции в общество детей-инвалидов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white"/>
        </w:rPr>
      </w:r>
    </w:p>
    <w:p>
      <w:pPr>
        <w:ind w:left="0" w:right="0" w:firstLine="540"/>
        <w:jc w:val="both"/>
        <w:spacing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Доли в праве собственности на жилое помещение, приобретенное с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использованием средств МСК,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определяются исходя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из равенства долей родителей и детей на средства МСК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, а не на все средства, за счет которых было приобретено жилое помещение.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540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2025-03-21T07:23:51Z</dcterms:modified>
</cp:coreProperties>
</file>